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Burgenland.</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0,13 bis 0,17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Burgenland in der neuen Systematik (§ 5 Abs. 1) rund 44 % des Netznutzungsentgelts auf den Leistungspreis und 56 % auf den Arbeitspreis. Die Teilnehmer erhielten damit nur rund 56 % der Entlastung, die § 128 Abs. 5 ElWG vorsieht.</w:t>
      </w:r>
    </w:p>
    <w:p>
      <w:pPr>
        <w:pStyle w:val="Fliesstext"/>
        <w:keepNext/>
      </w:pPr>
      <w:r>
        <w:t xml:space="preserve">Im Netzbereich Burgenland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8,46 ct</w:t>
            </w:r>
          </w:p>
        </w:tc>
        <w:tc>
          <w:tcPr>
            <w:tcW w:w="1800" w:type="dxa"/>
          </w:tcPr>
          <w:p>
            <w:pPr>
              <w:pStyle w:val="Tabellenzelle"/>
              <w:keepNext/>
              <w:jc w:val="right"/>
            </w:pPr>
            <w:r>
              <w:t xml:space="preserve">8,44 ct</w:t>
            </w:r>
          </w:p>
        </w:tc>
        <w:tc>
          <w:tcPr>
            <w:tcW w:w="1800" w:type="dxa"/>
          </w:tcPr>
          <w:p>
            <w:pPr>
              <w:pStyle w:val="Tabellenzelle"/>
              <w:keepNext/>
              <w:jc w:val="right"/>
            </w:pPr>
            <w:r>
              <w:t xml:space="preserve">6,60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6,77 ct</w:t>
            </w:r>
          </w:p>
        </w:tc>
        <w:tc>
          <w:tcPr>
            <w:tcW w:w="1800" w:type="dxa"/>
          </w:tcPr>
          <w:p>
            <w:pPr>
              <w:pStyle w:val="Tabellenzelle"/>
              <w:keepNext/>
              <w:jc w:val="right"/>
            </w:pPr>
            <w:r>
              <w:t xml:space="preserve">6,75 ct</w:t>
            </w:r>
          </w:p>
        </w:tc>
        <w:tc>
          <w:tcPr>
            <w:tcW w:w="1800" w:type="dxa"/>
          </w:tcPr>
          <w:p>
            <w:pPr>
              <w:pStyle w:val="Tabellenzelle"/>
              <w:keepNext/>
              <w:jc w:val="right"/>
            </w:pPr>
            <w:r>
              <w:t xml:space="preserve">5,28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3,64 ct</w:t>
            </w:r>
          </w:p>
        </w:tc>
        <w:tc>
          <w:tcPr>
            <w:tcW w:w="1800" w:type="dxa"/>
          </w:tcPr>
          <w:p>
            <w:pPr>
              <w:pStyle w:val="Tabellenzelle"/>
              <w:keepNext/>
              <w:jc w:val="right"/>
            </w:pPr>
            <w:r>
              <w:t xml:space="preserve">4,30 ct</w:t>
            </w:r>
          </w:p>
        </w:tc>
        <w:tc>
          <w:tcPr>
            <w:tcW w:w="1800" w:type="dxa"/>
          </w:tcPr>
          <w:p>
            <w:pPr>
              <w:pStyle w:val="Tabellenzelle"/>
              <w:keepNext/>
              <w:jc w:val="right"/>
            </w:pPr>
            <w:r>
              <w:t xml:space="preserve">3,37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6,09 ct</w:t>
            </w:r>
          </w:p>
        </w:tc>
        <w:tc>
          <w:tcPr>
            <w:tcW w:w="1800" w:type="dxa"/>
          </w:tcPr>
          <w:p>
            <w:pPr>
              <w:pStyle w:val="Tabellenzelle"/>
              <w:keepNext/>
              <w:jc w:val="right"/>
            </w:pPr>
            <w:r>
              <w:t xml:space="preserve">6,58 ct</w:t>
            </w:r>
          </w:p>
        </w:tc>
        <w:tc>
          <w:tcPr>
            <w:tcW w:w="1800" w:type="dxa"/>
          </w:tcPr>
          <w:p>
            <w:pPr>
              <w:pStyle w:val="Tabellenzelle"/>
              <w:keepNext/>
              <w:jc w:val="right"/>
            </w:pPr>
            <w:r>
              <w:t xml:space="preserve">5,15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0,68 ct</w:t>
            </w:r>
          </w:p>
        </w:tc>
        <w:tc>
          <w:tcPr>
            <w:tcW w:w="1800" w:type="dxa"/>
          </w:tcPr>
          <w:p>
            <w:pPr>
              <w:pStyle w:val="Tabellenzelle"/>
              <w:jc w:val="right"/>
            </w:pPr>
            <w:r>
              <w:t xml:space="preserve">0,17 ct</w:t>
            </w:r>
          </w:p>
        </w:tc>
        <w:tc>
          <w:tcPr>
            <w:tcW w:w="1800" w:type="dxa"/>
          </w:tcPr>
          <w:p>
            <w:pPr>
              <w:pStyle w:val="Tabellenzelle"/>
              <w:jc w:val="right"/>
            </w:pPr>
            <w:r>
              <w:t xml:space="preserve">0,13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(3,64 auf 4,30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0,17 ct/kWh (§ 5 Abs. 2) bzw. 0,13 ct/kWh (§ 5 Abs. 1); 2026 waren es 0,68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4,82 auf 3,23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56 % rund 87 % statt 49 % im Lokalbereich und rund 39 %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Burgenland bei 5,15 ct/kWh, der WiNAP bei 5,28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