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Graz.</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0,11 bis 0,11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Graz in der neuen Systematik (§ 5 Abs. 1) rund 40 % des Netznutzungsentgelts auf den Leistungspreis und 60 % auf den Arbeitspreis. Die Teilnehmer erhielten damit nur rund 60 % der Entlastung, die § 128 Abs. 5 ElWG vorsieht.</w:t>
      </w:r>
    </w:p>
    <w:p>
      <w:pPr>
        <w:pStyle w:val="Fliesstext"/>
        <w:keepNext/>
      </w:pPr>
      <w:r>
        <w:t xml:space="preserve">Im Netzbereich Graz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5,17 ct</w:t>
            </w:r>
          </w:p>
        </w:tc>
        <w:tc>
          <w:tcPr>
            <w:tcW w:w="1800" w:type="dxa"/>
          </w:tcPr>
          <w:p>
            <w:pPr>
              <w:pStyle w:val="Tabellenzelle"/>
              <w:keepNext/>
              <w:jc w:val="right"/>
            </w:pPr>
            <w:r>
              <w:t xml:space="preserve">5,40 ct</w:t>
            </w:r>
          </w:p>
        </w:tc>
        <w:tc>
          <w:tcPr>
            <w:tcW w:w="1800" w:type="dxa"/>
          </w:tcPr>
          <w:p>
            <w:pPr>
              <w:pStyle w:val="Tabellenzelle"/>
              <w:keepNext/>
              <w:jc w:val="right"/>
            </w:pPr>
            <w:r>
              <w:t xml:space="preserve">5,17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4,14 ct</w:t>
            </w:r>
          </w:p>
        </w:tc>
        <w:tc>
          <w:tcPr>
            <w:tcW w:w="1800" w:type="dxa"/>
          </w:tcPr>
          <w:p>
            <w:pPr>
              <w:pStyle w:val="Tabellenzelle"/>
              <w:keepNext/>
              <w:jc w:val="right"/>
            </w:pPr>
            <w:r>
              <w:t xml:space="preserve">4,32 ct</w:t>
            </w:r>
          </w:p>
        </w:tc>
        <w:tc>
          <w:tcPr>
            <w:tcW w:w="1800" w:type="dxa"/>
          </w:tcPr>
          <w:p>
            <w:pPr>
              <w:pStyle w:val="Tabellenzelle"/>
              <w:keepNext/>
              <w:jc w:val="right"/>
            </w:pPr>
            <w:r>
              <w:t xml:space="preserve">4,14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2,22 ct</w:t>
            </w:r>
          </w:p>
        </w:tc>
        <w:tc>
          <w:tcPr>
            <w:tcW w:w="1800" w:type="dxa"/>
          </w:tcPr>
          <w:p>
            <w:pPr>
              <w:pStyle w:val="Tabellenzelle"/>
              <w:keepNext/>
              <w:jc w:val="right"/>
            </w:pPr>
            <w:r>
              <w:t xml:space="preserve">2,75 ct</w:t>
            </w:r>
          </w:p>
        </w:tc>
        <w:tc>
          <w:tcPr>
            <w:tcW w:w="1800" w:type="dxa"/>
          </w:tcPr>
          <w:p>
            <w:pPr>
              <w:pStyle w:val="Tabellenzelle"/>
              <w:keepNext/>
              <w:jc w:val="right"/>
            </w:pPr>
            <w:r>
              <w:t xml:space="preserve">2,64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3,72 ct</w:t>
            </w:r>
          </w:p>
        </w:tc>
        <w:tc>
          <w:tcPr>
            <w:tcW w:w="1800" w:type="dxa"/>
          </w:tcPr>
          <w:p>
            <w:pPr>
              <w:pStyle w:val="Tabellenzelle"/>
              <w:keepNext/>
              <w:jc w:val="right"/>
            </w:pPr>
            <w:r>
              <w:t xml:space="preserve">4,21 ct</w:t>
            </w:r>
          </w:p>
        </w:tc>
        <w:tc>
          <w:tcPr>
            <w:tcW w:w="1800" w:type="dxa"/>
          </w:tcPr>
          <w:p>
            <w:pPr>
              <w:pStyle w:val="Tabellenzelle"/>
              <w:keepNext/>
              <w:jc w:val="right"/>
            </w:pPr>
            <w:r>
              <w:t xml:space="preserve">4,03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0,42 ct</w:t>
            </w:r>
          </w:p>
        </w:tc>
        <w:tc>
          <w:tcPr>
            <w:tcW w:w="1800" w:type="dxa"/>
          </w:tcPr>
          <w:p>
            <w:pPr>
              <w:pStyle w:val="Tabellenzelle"/>
              <w:jc w:val="right"/>
            </w:pPr>
            <w:r>
              <w:t xml:space="preserve">0,11 ct</w:t>
            </w:r>
          </w:p>
        </w:tc>
        <w:tc>
          <w:tcPr>
            <w:tcW w:w="1800" w:type="dxa"/>
          </w:tcPr>
          <w:p>
            <w:pPr>
              <w:pStyle w:val="Tabellenzelle"/>
              <w:jc w:val="right"/>
            </w:pPr>
            <w:r>
              <w:t xml:space="preserve">0,11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(2,22 auf 2,75 ct/kWh), und damit stärker als der allgemeine Arbeitspreis (5,17 auf 5,40 ct/kWh, +4 %). Auch in der neuen Systematik liegt sie mit 2,64 ct/kWh über dem Wert von 2026.</w:t>
      </w:r>
    </w:p>
    <w:p>
      <w:pPr>
        <w:pStyle w:val="Aufzaehlung"/>
      </w:pPr>
      <w:r>
        <w:t xml:space="preserve">–</w:t>
      </w:r>
      <w:r>
        <w:tab/>
      </w:r>
      <w:r>
        <w:t xml:space="preserve">Im Regionalbereich verbleibt in den Stunden des SNAP – genau den Stunden, in denen Photovoltaik erzeugt und gemeinsam genutzt wird – ein Vorteil von 0,11 ct/kWh (§ 5 Abs. 2) bzw. 0,11 ct/kWh (§ 5 Abs. 1); 2026 waren es 0,42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2,95 auf 2,53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60 % rund 82 % statt 49 % im Lokalbereich und rund 37 %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Graz bei 4,03 ct/kWh, der WiNAP bei 4,14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