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Innsbruck.</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0,13 bis 0,17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Innsbruck in der neuen Systematik (§ 5 Abs. 1) rund 42 % des Netznutzungsentgelts auf den Leistungspreis und 58 % auf den Arbeitspreis. Die Teilnehmer erhielten damit nur rund 58 % der Entlastung, die § 128 Abs. 5 ElWG vorsieht.</w:t>
      </w:r>
    </w:p>
    <w:p>
      <w:pPr>
        <w:pStyle w:val="Fliesstext"/>
        <w:keepNext/>
      </w:pPr>
      <w:r>
        <w:t xml:space="preserve">Im Netzbereich Innsbruck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8,03 ct</w:t>
            </w:r>
          </w:p>
        </w:tc>
        <w:tc>
          <w:tcPr>
            <w:tcW w:w="1800" w:type="dxa"/>
          </w:tcPr>
          <w:p>
            <w:pPr>
              <w:pStyle w:val="Tabellenzelle"/>
              <w:keepNext/>
              <w:jc w:val="right"/>
            </w:pPr>
            <w:r>
              <w:t xml:space="preserve">8,32 ct</w:t>
            </w:r>
          </w:p>
        </w:tc>
        <w:tc>
          <w:tcPr>
            <w:tcW w:w="1800" w:type="dxa"/>
          </w:tcPr>
          <w:p>
            <w:pPr>
              <w:pStyle w:val="Tabellenzelle"/>
              <w:keepNext/>
              <w:jc w:val="right"/>
            </w:pPr>
            <w:r>
              <w:t xml:space="preserve">6,74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6,42 ct</w:t>
            </w:r>
          </w:p>
        </w:tc>
        <w:tc>
          <w:tcPr>
            <w:tcW w:w="1800" w:type="dxa"/>
          </w:tcPr>
          <w:p>
            <w:pPr>
              <w:pStyle w:val="Tabellenzelle"/>
              <w:keepNext/>
              <w:jc w:val="right"/>
            </w:pPr>
            <w:r>
              <w:t xml:space="preserve">6,66 ct</w:t>
            </w:r>
          </w:p>
        </w:tc>
        <w:tc>
          <w:tcPr>
            <w:tcW w:w="1800" w:type="dxa"/>
          </w:tcPr>
          <w:p>
            <w:pPr>
              <w:pStyle w:val="Tabellenzelle"/>
              <w:keepNext/>
              <w:jc w:val="right"/>
            </w:pPr>
            <w:r>
              <w:t xml:space="preserve">5,39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3,45 ct</w:t>
            </w:r>
          </w:p>
        </w:tc>
        <w:tc>
          <w:tcPr>
            <w:tcW w:w="1800" w:type="dxa"/>
          </w:tcPr>
          <w:p>
            <w:pPr>
              <w:pStyle w:val="Tabellenzelle"/>
              <w:keepNext/>
              <w:jc w:val="right"/>
            </w:pPr>
            <w:r>
              <w:t xml:space="preserve">4,24 ct</w:t>
            </w:r>
          </w:p>
        </w:tc>
        <w:tc>
          <w:tcPr>
            <w:tcW w:w="1800" w:type="dxa"/>
          </w:tcPr>
          <w:p>
            <w:pPr>
              <w:pStyle w:val="Tabellenzelle"/>
              <w:keepNext/>
              <w:jc w:val="right"/>
            </w:pPr>
            <w:r>
              <w:t xml:space="preserve">3,44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5,78 ct</w:t>
            </w:r>
          </w:p>
        </w:tc>
        <w:tc>
          <w:tcPr>
            <w:tcW w:w="1800" w:type="dxa"/>
          </w:tcPr>
          <w:p>
            <w:pPr>
              <w:pStyle w:val="Tabellenzelle"/>
              <w:keepNext/>
              <w:jc w:val="right"/>
            </w:pPr>
            <w:r>
              <w:t xml:space="preserve">6,49 ct</w:t>
            </w:r>
          </w:p>
        </w:tc>
        <w:tc>
          <w:tcPr>
            <w:tcW w:w="1800" w:type="dxa"/>
          </w:tcPr>
          <w:p>
            <w:pPr>
              <w:pStyle w:val="Tabellenzelle"/>
              <w:keepNext/>
              <w:jc w:val="right"/>
            </w:pPr>
            <w:r>
              <w:t xml:space="preserve">5,26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0,64 ct</w:t>
            </w:r>
          </w:p>
        </w:tc>
        <w:tc>
          <w:tcPr>
            <w:tcW w:w="1800" w:type="dxa"/>
          </w:tcPr>
          <w:p>
            <w:pPr>
              <w:pStyle w:val="Tabellenzelle"/>
              <w:jc w:val="right"/>
            </w:pPr>
            <w:r>
              <w:t xml:space="preserve">0,17 ct</w:t>
            </w:r>
          </w:p>
        </w:tc>
        <w:tc>
          <w:tcPr>
            <w:tcW w:w="1800" w:type="dxa"/>
          </w:tcPr>
          <w:p>
            <w:pPr>
              <w:pStyle w:val="Tabellenzelle"/>
              <w:jc w:val="right"/>
            </w:pPr>
            <w:r>
              <w:t xml:space="preserve">0,13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(3,45 auf 4,24 ct/kWh), und damit stärker als der allgemeine Arbeitspreis (8,03 auf 8,32 ct/kWh, +4 %).</w:t>
      </w:r>
    </w:p>
    <w:p>
      <w:pPr>
        <w:pStyle w:val="Aufzaehlung"/>
      </w:pPr>
      <w:r>
        <w:t xml:space="preserve">–</w:t>
      </w:r>
      <w:r>
        <w:tab/>
      </w:r>
      <w:r>
        <w:t xml:space="preserve">Im Regionalbereich verbleibt in den Stunden des SNAP – genau den Stunden, in denen Photovoltaik erzeugt und gemeinsam genutzt wird – ein Vorteil von 0,17 ct/kWh (§ 5 Abs. 2) bzw. 0,13 ct/kWh (§ 5 Abs. 1); 2026 waren es 0,64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4,58 auf 3,30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58 % rund 85 % statt 49 % im Lokalbereich und rund 38 %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Innsbruck bei 5,26 ct/kWh, der WiNAP bei 5,39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