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Klagenfurt.</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0,11 bis 0,12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Klagenfurt in der neuen Systematik (§ 5 Abs. 1) rund 40 % des Netznutzungsentgelts auf den Leistungspreis und 60 % auf den Arbeitspreis. Die Teilnehmer erhielten damit nur rund 60 % der Entlastung, die § 128 Abs. 5 ElWG vorsieht.</w:t>
      </w:r>
    </w:p>
    <w:p>
      <w:pPr>
        <w:pStyle w:val="Fliesstext"/>
        <w:keepNext/>
      </w:pPr>
      <w:r>
        <w:t xml:space="preserve">Im Netzbereich Klagenfurt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6,90 ct</w:t>
            </w:r>
          </w:p>
        </w:tc>
        <w:tc>
          <w:tcPr>
            <w:tcW w:w="1800" w:type="dxa"/>
          </w:tcPr>
          <w:p>
            <w:pPr>
              <w:pStyle w:val="Tabellenzelle"/>
              <w:keepNext/>
              <w:jc w:val="right"/>
            </w:pPr>
            <w:r>
              <w:t xml:space="preserve">6,28 ct</w:t>
            </w:r>
          </w:p>
        </w:tc>
        <w:tc>
          <w:tcPr>
            <w:tcW w:w="1800" w:type="dxa"/>
          </w:tcPr>
          <w:p>
            <w:pPr>
              <w:pStyle w:val="Tabellenzelle"/>
              <w:keepNext/>
              <w:jc w:val="right"/>
            </w:pPr>
            <w:r>
              <w:t xml:space="preserve">5,70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5,52 ct</w:t>
            </w:r>
          </w:p>
        </w:tc>
        <w:tc>
          <w:tcPr>
            <w:tcW w:w="1800" w:type="dxa"/>
          </w:tcPr>
          <w:p>
            <w:pPr>
              <w:pStyle w:val="Tabellenzelle"/>
              <w:keepNext/>
              <w:jc w:val="right"/>
            </w:pPr>
            <w:r>
              <w:t xml:space="preserve">5,02 ct</w:t>
            </w:r>
          </w:p>
        </w:tc>
        <w:tc>
          <w:tcPr>
            <w:tcW w:w="1800" w:type="dxa"/>
          </w:tcPr>
          <w:p>
            <w:pPr>
              <w:pStyle w:val="Tabellenzelle"/>
              <w:keepNext/>
              <w:jc w:val="right"/>
            </w:pPr>
            <w:r>
              <w:t xml:space="preserve">4,56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2,97 ct</w:t>
            </w:r>
          </w:p>
        </w:tc>
        <w:tc>
          <w:tcPr>
            <w:tcW w:w="1800" w:type="dxa"/>
          </w:tcPr>
          <w:p>
            <w:pPr>
              <w:pStyle w:val="Tabellenzelle"/>
              <w:keepNext/>
              <w:jc w:val="right"/>
            </w:pPr>
            <w:r>
              <w:t xml:space="preserve">3,20 ct</w:t>
            </w:r>
          </w:p>
        </w:tc>
        <w:tc>
          <w:tcPr>
            <w:tcW w:w="1800" w:type="dxa"/>
          </w:tcPr>
          <w:p>
            <w:pPr>
              <w:pStyle w:val="Tabellenzelle"/>
              <w:keepNext/>
              <w:jc w:val="right"/>
            </w:pPr>
            <w:r>
              <w:t xml:space="preserve">2,91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4,97 ct</w:t>
            </w:r>
          </w:p>
        </w:tc>
        <w:tc>
          <w:tcPr>
            <w:tcW w:w="1800" w:type="dxa"/>
          </w:tcPr>
          <w:p>
            <w:pPr>
              <w:pStyle w:val="Tabellenzelle"/>
              <w:keepNext/>
              <w:jc w:val="right"/>
            </w:pPr>
            <w:r>
              <w:t xml:space="preserve">4,90 ct</w:t>
            </w:r>
          </w:p>
        </w:tc>
        <w:tc>
          <w:tcPr>
            <w:tcW w:w="1800" w:type="dxa"/>
          </w:tcPr>
          <w:p>
            <w:pPr>
              <w:pStyle w:val="Tabellenzelle"/>
              <w:keepNext/>
              <w:jc w:val="right"/>
            </w:pPr>
            <w:r>
              <w:t xml:space="preserve">4,45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0,55 ct</w:t>
            </w:r>
          </w:p>
        </w:tc>
        <w:tc>
          <w:tcPr>
            <w:tcW w:w="1800" w:type="dxa"/>
          </w:tcPr>
          <w:p>
            <w:pPr>
              <w:pStyle w:val="Tabellenzelle"/>
              <w:jc w:val="right"/>
            </w:pPr>
            <w:r>
              <w:t xml:space="preserve">0,12 ct</w:t>
            </w:r>
          </w:p>
        </w:tc>
        <w:tc>
          <w:tcPr>
            <w:tcW w:w="1800" w:type="dxa"/>
          </w:tcPr>
          <w:p>
            <w:pPr>
              <w:pStyle w:val="Tabellenzelle"/>
              <w:jc w:val="right"/>
            </w:pPr>
            <w:r>
              <w:t xml:space="preserve">0,11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(2,97 auf 3,20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0,12 ct/kWh (§ 5 Abs. 2) bzw. 0,11 ct/kWh (§ 5 Abs. 1); 2026 waren es 0,55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3,93 auf 2,79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60 % rund 81 % statt 49 % im Lokalbereich und rund 37 %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Klagenfurt bei 4,45 ct/kWh, der WiNAP bei 4,56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