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Linz.</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0,10 bis 0,12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Linz in der neuen Systematik (§ 5 Abs. 1) rund 42 % des Netznutzungsentgelts auf den Leistungspreis und 58 % auf den Arbeitspreis. Die Teilnehmer erhielten damit nur rund 58 % der Entlastung, die § 128 Abs. 5 ElWG vorsieht.</w:t>
      </w:r>
    </w:p>
    <w:p>
      <w:pPr>
        <w:pStyle w:val="Fliesstext"/>
        <w:keepNext/>
      </w:pPr>
      <w:r>
        <w:t xml:space="preserve">Im Netzbereich Linz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5,57 ct</w:t>
            </w:r>
          </w:p>
        </w:tc>
        <w:tc>
          <w:tcPr>
            <w:tcW w:w="1800" w:type="dxa"/>
          </w:tcPr>
          <w:p>
            <w:pPr>
              <w:pStyle w:val="Tabellenzelle"/>
              <w:keepNext/>
              <w:jc w:val="right"/>
            </w:pPr>
            <w:r>
              <w:t xml:space="preserve">5,98 ct</w:t>
            </w:r>
          </w:p>
        </w:tc>
        <w:tc>
          <w:tcPr>
            <w:tcW w:w="1800" w:type="dxa"/>
          </w:tcPr>
          <w:p>
            <w:pPr>
              <w:pStyle w:val="Tabellenzelle"/>
              <w:keepNext/>
              <w:jc w:val="right"/>
            </w:pPr>
            <w:r>
              <w:t xml:space="preserve">5,28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4,46 ct</w:t>
            </w:r>
          </w:p>
        </w:tc>
        <w:tc>
          <w:tcPr>
            <w:tcW w:w="1800" w:type="dxa"/>
          </w:tcPr>
          <w:p>
            <w:pPr>
              <w:pStyle w:val="Tabellenzelle"/>
              <w:keepNext/>
              <w:jc w:val="right"/>
            </w:pPr>
            <w:r>
              <w:t xml:space="preserve">4,78 ct</w:t>
            </w:r>
          </w:p>
        </w:tc>
        <w:tc>
          <w:tcPr>
            <w:tcW w:w="1800" w:type="dxa"/>
          </w:tcPr>
          <w:p>
            <w:pPr>
              <w:pStyle w:val="Tabellenzelle"/>
              <w:keepNext/>
              <w:jc w:val="right"/>
            </w:pPr>
            <w:r>
              <w:t xml:space="preserve">4,22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2,40 ct</w:t>
            </w:r>
          </w:p>
        </w:tc>
        <w:tc>
          <w:tcPr>
            <w:tcW w:w="1800" w:type="dxa"/>
          </w:tcPr>
          <w:p>
            <w:pPr>
              <w:pStyle w:val="Tabellenzelle"/>
              <w:keepNext/>
              <w:jc w:val="right"/>
            </w:pPr>
            <w:r>
              <w:t xml:space="preserve">3,05 ct</w:t>
            </w:r>
          </w:p>
        </w:tc>
        <w:tc>
          <w:tcPr>
            <w:tcW w:w="1800" w:type="dxa"/>
          </w:tcPr>
          <w:p>
            <w:pPr>
              <w:pStyle w:val="Tabellenzelle"/>
              <w:keepNext/>
              <w:jc w:val="right"/>
            </w:pPr>
            <w:r>
              <w:t xml:space="preserve">2,69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4,01 ct</w:t>
            </w:r>
          </w:p>
        </w:tc>
        <w:tc>
          <w:tcPr>
            <w:tcW w:w="1800" w:type="dxa"/>
          </w:tcPr>
          <w:p>
            <w:pPr>
              <w:pStyle w:val="Tabellenzelle"/>
              <w:keepNext/>
              <w:jc w:val="right"/>
            </w:pPr>
            <w:r>
              <w:t xml:space="preserve">4,66 ct</w:t>
            </w:r>
          </w:p>
        </w:tc>
        <w:tc>
          <w:tcPr>
            <w:tcW w:w="1800" w:type="dxa"/>
          </w:tcPr>
          <w:p>
            <w:pPr>
              <w:pStyle w:val="Tabellenzelle"/>
              <w:keepNext/>
              <w:jc w:val="right"/>
            </w:pPr>
            <w:r>
              <w:t xml:space="preserve">4,12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0,45 ct</w:t>
            </w:r>
          </w:p>
        </w:tc>
        <w:tc>
          <w:tcPr>
            <w:tcW w:w="1800" w:type="dxa"/>
          </w:tcPr>
          <w:p>
            <w:pPr>
              <w:pStyle w:val="Tabellenzelle"/>
              <w:jc w:val="right"/>
            </w:pPr>
            <w:r>
              <w:t xml:space="preserve">0,12 ct</w:t>
            </w:r>
          </w:p>
        </w:tc>
        <w:tc>
          <w:tcPr>
            <w:tcW w:w="1800" w:type="dxa"/>
          </w:tcPr>
          <w:p>
            <w:pPr>
              <w:pStyle w:val="Tabellenzelle"/>
              <w:jc w:val="right"/>
            </w:pPr>
            <w:r>
              <w:t xml:space="preserve">0,10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(2,40 auf 3,05 ct/kWh), und damit stärker als der allgemeine Arbeitspreis (5,57 auf 5,98 ct/kWh, +7 %). Auch in der neuen Systematik liegt sie mit 2,69 ct/kWh über dem Wert von 2026.</w:t>
      </w:r>
    </w:p>
    <w:p>
      <w:pPr>
        <w:pStyle w:val="Aufzaehlung"/>
      </w:pPr>
      <w:r>
        <w:t xml:space="preserve">–</w:t>
      </w:r>
      <w:r>
        <w:tab/>
      </w:r>
      <w:r>
        <w:t xml:space="preserve">Im Regionalbereich verbleibt in den Stunden des SNAP – genau den Stunden, in denen Photovoltaik erzeugt und gemeinsam genutzt wird – ein Vorteil von 0,12 ct/kWh (§ 5 Abs. 2) bzw. 0,10 ct/kWh (§ 5 Abs. 1); 2026 waren es 0,45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3,17 auf 2,59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58 % rund 85 % statt 49 % im Lokalbereich und rund 38 %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Linz bei 4,12 ct/kWh, der WiNAP bei 4,22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