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Steiermark.</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0,13 bis 0,17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Steiermark in der neuen Systematik (§ 5 Abs. 1) rund 42 % des Netznutzungsentgelts auf den Leistungspreis und 58 % auf den Arbeitspreis. Die Teilnehmer erhielten damit nur rund 58 % der Entlastung, die § 128 Abs. 5 ElWG vorsieht.</w:t>
      </w:r>
    </w:p>
    <w:p>
      <w:pPr>
        <w:pStyle w:val="Fliesstext"/>
        <w:keepNext/>
      </w:pPr>
      <w:r>
        <w:t xml:space="preserve">Im Netzbereich Steiermark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8,82 ct</w:t>
            </w:r>
          </w:p>
        </w:tc>
        <w:tc>
          <w:tcPr>
            <w:tcW w:w="1800" w:type="dxa"/>
          </w:tcPr>
          <w:p>
            <w:pPr>
              <w:pStyle w:val="Tabellenzelle"/>
              <w:keepNext/>
              <w:jc w:val="right"/>
            </w:pPr>
            <w:r>
              <w:t xml:space="preserve">8,31 ct</w:t>
            </w:r>
          </w:p>
        </w:tc>
        <w:tc>
          <w:tcPr>
            <w:tcW w:w="1800" w:type="dxa"/>
          </w:tcPr>
          <w:p>
            <w:pPr>
              <w:pStyle w:val="Tabellenzelle"/>
              <w:keepNext/>
              <w:jc w:val="right"/>
            </w:pPr>
            <w:r>
              <w:t xml:space="preserve">6,59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7,06 ct</w:t>
            </w:r>
          </w:p>
        </w:tc>
        <w:tc>
          <w:tcPr>
            <w:tcW w:w="1800" w:type="dxa"/>
          </w:tcPr>
          <w:p>
            <w:pPr>
              <w:pStyle w:val="Tabellenzelle"/>
              <w:keepNext/>
              <w:jc w:val="right"/>
            </w:pPr>
            <w:r>
              <w:t xml:space="preserve">6,65 ct</w:t>
            </w:r>
          </w:p>
        </w:tc>
        <w:tc>
          <w:tcPr>
            <w:tcW w:w="1800" w:type="dxa"/>
          </w:tcPr>
          <w:p>
            <w:pPr>
              <w:pStyle w:val="Tabellenzelle"/>
              <w:keepNext/>
              <w:jc w:val="right"/>
            </w:pPr>
            <w:r>
              <w:t xml:space="preserve">5,27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3,79 ct</w:t>
            </w:r>
          </w:p>
        </w:tc>
        <w:tc>
          <w:tcPr>
            <w:tcW w:w="1800" w:type="dxa"/>
          </w:tcPr>
          <w:p>
            <w:pPr>
              <w:pStyle w:val="Tabellenzelle"/>
              <w:keepNext/>
              <w:jc w:val="right"/>
            </w:pPr>
            <w:r>
              <w:t xml:space="preserve">4,24 ct</w:t>
            </w:r>
          </w:p>
        </w:tc>
        <w:tc>
          <w:tcPr>
            <w:tcW w:w="1800" w:type="dxa"/>
          </w:tcPr>
          <w:p>
            <w:pPr>
              <w:pStyle w:val="Tabellenzelle"/>
              <w:keepNext/>
              <w:jc w:val="right"/>
            </w:pPr>
            <w:r>
              <w:t xml:space="preserve">3,36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6,35 ct</w:t>
            </w:r>
          </w:p>
        </w:tc>
        <w:tc>
          <w:tcPr>
            <w:tcW w:w="1800" w:type="dxa"/>
          </w:tcPr>
          <w:p>
            <w:pPr>
              <w:pStyle w:val="Tabellenzelle"/>
              <w:keepNext/>
              <w:jc w:val="right"/>
            </w:pPr>
            <w:r>
              <w:t xml:space="preserve">6,48 ct</w:t>
            </w:r>
          </w:p>
        </w:tc>
        <w:tc>
          <w:tcPr>
            <w:tcW w:w="1800" w:type="dxa"/>
          </w:tcPr>
          <w:p>
            <w:pPr>
              <w:pStyle w:val="Tabellenzelle"/>
              <w:keepNext/>
              <w:jc w:val="right"/>
            </w:pPr>
            <w:r>
              <w:t xml:space="preserve">5,14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0,71 ct</w:t>
            </w:r>
          </w:p>
        </w:tc>
        <w:tc>
          <w:tcPr>
            <w:tcW w:w="1800" w:type="dxa"/>
          </w:tcPr>
          <w:p>
            <w:pPr>
              <w:pStyle w:val="Tabellenzelle"/>
              <w:jc w:val="right"/>
            </w:pPr>
            <w:r>
              <w:t xml:space="preserve">0,17 ct</w:t>
            </w:r>
          </w:p>
        </w:tc>
        <w:tc>
          <w:tcPr>
            <w:tcW w:w="1800" w:type="dxa"/>
          </w:tcPr>
          <w:p>
            <w:pPr>
              <w:pStyle w:val="Tabellenzelle"/>
              <w:jc w:val="right"/>
            </w:pPr>
            <w:r>
              <w:t xml:space="preserve">0,13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(3,79 auf 4,24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0,17 ct/kWh (§ 5 Abs. 2) bzw. 0,13 ct/kWh (§ 5 Abs. 1); 2026 waren es 0,71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5,03 auf 3,23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58 % rund 85 % statt 49 % im Lokalbereich und rund 38 %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Steiermark bei 5,14 ct/kWh, der WiNAP bei 5,27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