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Tirol.</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0,10 bis 0,13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Tirol in der neuen Systematik (§ 5 Abs. 1) rund 43 % des Netznutzungsentgelts auf den Leistungspreis und 57 % auf den Arbeitspreis. Die Teilnehmer erhielten damit nur rund 57 % der Entlastung, die § 128 Abs. 5 ElWG vorsieht.</w:t>
      </w:r>
    </w:p>
    <w:p>
      <w:pPr>
        <w:pStyle w:val="Fliesstext"/>
        <w:keepNext/>
      </w:pPr>
      <w:r>
        <w:t xml:space="preserve">Im Netzbereich Tirol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6,81 ct</w:t>
            </w:r>
          </w:p>
        </w:tc>
        <w:tc>
          <w:tcPr>
            <w:tcW w:w="1800" w:type="dxa"/>
          </w:tcPr>
          <w:p>
            <w:pPr>
              <w:pStyle w:val="Tabellenzelle"/>
              <w:keepNext/>
              <w:jc w:val="right"/>
            </w:pPr>
            <w:r>
              <w:t xml:space="preserve">6,68 ct</w:t>
            </w:r>
          </w:p>
        </w:tc>
        <w:tc>
          <w:tcPr>
            <w:tcW w:w="1800" w:type="dxa"/>
          </w:tcPr>
          <w:p>
            <w:pPr>
              <w:pStyle w:val="Tabellenzelle"/>
              <w:keepNext/>
              <w:jc w:val="right"/>
            </w:pPr>
            <w:r>
              <w:t xml:space="preserve">4,98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5,45 ct</w:t>
            </w:r>
          </w:p>
        </w:tc>
        <w:tc>
          <w:tcPr>
            <w:tcW w:w="1800" w:type="dxa"/>
          </w:tcPr>
          <w:p>
            <w:pPr>
              <w:pStyle w:val="Tabellenzelle"/>
              <w:keepNext/>
              <w:jc w:val="right"/>
            </w:pPr>
            <w:r>
              <w:t xml:space="preserve">5,34 ct</w:t>
            </w:r>
          </w:p>
        </w:tc>
        <w:tc>
          <w:tcPr>
            <w:tcW w:w="1800" w:type="dxa"/>
          </w:tcPr>
          <w:p>
            <w:pPr>
              <w:pStyle w:val="Tabellenzelle"/>
              <w:keepNext/>
              <w:jc w:val="right"/>
            </w:pPr>
            <w:r>
              <w:t xml:space="preserve">3,98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2,93 ct</w:t>
            </w:r>
          </w:p>
        </w:tc>
        <w:tc>
          <w:tcPr>
            <w:tcW w:w="1800" w:type="dxa"/>
          </w:tcPr>
          <w:p>
            <w:pPr>
              <w:pStyle w:val="Tabellenzelle"/>
              <w:keepNext/>
              <w:jc w:val="right"/>
            </w:pPr>
            <w:r>
              <w:t xml:space="preserve">3,41 ct</w:t>
            </w:r>
          </w:p>
        </w:tc>
        <w:tc>
          <w:tcPr>
            <w:tcW w:w="1800" w:type="dxa"/>
          </w:tcPr>
          <w:p>
            <w:pPr>
              <w:pStyle w:val="Tabellenzelle"/>
              <w:keepNext/>
              <w:jc w:val="right"/>
            </w:pPr>
            <w:r>
              <w:t xml:space="preserve">2,54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4,90 ct</w:t>
            </w:r>
          </w:p>
        </w:tc>
        <w:tc>
          <w:tcPr>
            <w:tcW w:w="1800" w:type="dxa"/>
          </w:tcPr>
          <w:p>
            <w:pPr>
              <w:pStyle w:val="Tabellenzelle"/>
              <w:keepNext/>
              <w:jc w:val="right"/>
            </w:pPr>
            <w:r>
              <w:t xml:space="preserve">5,21 ct</w:t>
            </w:r>
          </w:p>
        </w:tc>
        <w:tc>
          <w:tcPr>
            <w:tcW w:w="1800" w:type="dxa"/>
          </w:tcPr>
          <w:p>
            <w:pPr>
              <w:pStyle w:val="Tabellenzelle"/>
              <w:keepNext/>
              <w:jc w:val="right"/>
            </w:pPr>
            <w:r>
              <w:t xml:space="preserve">3,88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0,55 ct</w:t>
            </w:r>
          </w:p>
        </w:tc>
        <w:tc>
          <w:tcPr>
            <w:tcW w:w="1800" w:type="dxa"/>
          </w:tcPr>
          <w:p>
            <w:pPr>
              <w:pStyle w:val="Tabellenzelle"/>
              <w:jc w:val="right"/>
            </w:pPr>
            <w:r>
              <w:t xml:space="preserve">0,13 ct</w:t>
            </w:r>
          </w:p>
        </w:tc>
        <w:tc>
          <w:tcPr>
            <w:tcW w:w="1800" w:type="dxa"/>
          </w:tcPr>
          <w:p>
            <w:pPr>
              <w:pStyle w:val="Tabellenzelle"/>
              <w:jc w:val="right"/>
            </w:pPr>
            <w:r>
              <w:t xml:space="preserve">0,10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(2,93 auf 3,41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0,13 ct/kWh (§ 5 Abs. 2) bzw. 0,10 ct/kWh (§ 5 Abs. 1); 2026 waren es 0,55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3,88 auf 2,44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57 % rund 85 % statt 49 % im Lokalbereich und rund 38 %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Tirol bei 3,88 ct/kWh, der WiNAP bei 3,98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