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Vorarlberg.</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0,08 bis 0,08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Vorarlberg in der neuen Systematik (§ 5 Abs. 1) rund 44 % des Netznutzungsentgelts auf den Leistungspreis und 56 % auf den Arbeitspreis. Die Teilnehmer erhielten damit nur rund 56 % der Entlastung, die § 128 Abs. 5 ElWG vorsieht.</w:t>
      </w:r>
    </w:p>
    <w:p>
      <w:pPr>
        <w:pStyle w:val="Fliesstext"/>
        <w:keepNext/>
      </w:pPr>
      <w:r>
        <w:t xml:space="preserve">Im Netzbereich Vorarlberg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4,96 ct</w:t>
            </w:r>
          </w:p>
        </w:tc>
        <w:tc>
          <w:tcPr>
            <w:tcW w:w="1800" w:type="dxa"/>
          </w:tcPr>
          <w:p>
            <w:pPr>
              <w:pStyle w:val="Tabellenzelle"/>
              <w:keepNext/>
              <w:jc w:val="right"/>
            </w:pPr>
            <w:r>
              <w:t xml:space="preserve">4,20 ct</w:t>
            </w:r>
          </w:p>
        </w:tc>
        <w:tc>
          <w:tcPr>
            <w:tcW w:w="1800" w:type="dxa"/>
          </w:tcPr>
          <w:p>
            <w:pPr>
              <w:pStyle w:val="Tabellenzelle"/>
              <w:keepNext/>
              <w:jc w:val="right"/>
            </w:pPr>
            <w:r>
              <w:t xml:space="preserve">3,77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3,97 ct</w:t>
            </w:r>
          </w:p>
        </w:tc>
        <w:tc>
          <w:tcPr>
            <w:tcW w:w="1800" w:type="dxa"/>
          </w:tcPr>
          <w:p>
            <w:pPr>
              <w:pStyle w:val="Tabellenzelle"/>
              <w:keepNext/>
              <w:jc w:val="right"/>
            </w:pPr>
            <w:r>
              <w:t xml:space="preserve">3,36 ct</w:t>
            </w:r>
          </w:p>
        </w:tc>
        <w:tc>
          <w:tcPr>
            <w:tcW w:w="1800" w:type="dxa"/>
          </w:tcPr>
          <w:p>
            <w:pPr>
              <w:pStyle w:val="Tabellenzelle"/>
              <w:keepNext/>
              <w:jc w:val="right"/>
            </w:pPr>
            <w:r>
              <w:t xml:space="preserve">3,02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2,13 ct</w:t>
            </w:r>
          </w:p>
        </w:tc>
        <w:tc>
          <w:tcPr>
            <w:tcW w:w="1800" w:type="dxa"/>
          </w:tcPr>
          <w:p>
            <w:pPr>
              <w:pStyle w:val="Tabellenzelle"/>
              <w:keepNext/>
              <w:jc w:val="right"/>
            </w:pPr>
            <w:r>
              <w:t xml:space="preserve">2,14 ct</w:t>
            </w:r>
          </w:p>
        </w:tc>
        <w:tc>
          <w:tcPr>
            <w:tcW w:w="1800" w:type="dxa"/>
          </w:tcPr>
          <w:p>
            <w:pPr>
              <w:pStyle w:val="Tabellenzelle"/>
              <w:keepNext/>
              <w:jc w:val="right"/>
            </w:pPr>
            <w:r>
              <w:t xml:space="preserve">1,92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3,57 ct</w:t>
            </w:r>
          </w:p>
        </w:tc>
        <w:tc>
          <w:tcPr>
            <w:tcW w:w="1800" w:type="dxa"/>
          </w:tcPr>
          <w:p>
            <w:pPr>
              <w:pStyle w:val="Tabellenzelle"/>
              <w:keepNext/>
              <w:jc w:val="right"/>
            </w:pPr>
            <w:r>
              <w:t xml:space="preserve">3,28 ct</w:t>
            </w:r>
          </w:p>
        </w:tc>
        <w:tc>
          <w:tcPr>
            <w:tcW w:w="1800" w:type="dxa"/>
          </w:tcPr>
          <w:p>
            <w:pPr>
              <w:pStyle w:val="Tabellenzelle"/>
              <w:keepNext/>
              <w:jc w:val="right"/>
            </w:pPr>
            <w:r>
              <w:t xml:space="preserve">2,94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0,40 ct</w:t>
            </w:r>
          </w:p>
        </w:tc>
        <w:tc>
          <w:tcPr>
            <w:tcW w:w="1800" w:type="dxa"/>
          </w:tcPr>
          <w:p>
            <w:pPr>
              <w:pStyle w:val="Tabellenzelle"/>
              <w:jc w:val="right"/>
            </w:pPr>
            <w:r>
              <w:t xml:space="preserve">0,08 ct</w:t>
            </w:r>
          </w:p>
        </w:tc>
        <w:tc>
          <w:tcPr>
            <w:tcW w:w="1800" w:type="dxa"/>
          </w:tcPr>
          <w:p>
            <w:pPr>
              <w:pStyle w:val="Tabellenzelle"/>
              <w:jc w:val="right"/>
            </w:pPr>
            <w:r>
              <w:t xml:space="preserve">0,08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bleibt im System nach § 5 Abs. 2 praktisch so teuer wie 2026 (2,13 auf 2,14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0,08 ct/kWh (§ 5 Abs. 2) bzw. 0,08 ct/kWh (§ 5 Abs. 1); 2026 waren es 0,40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2,83 auf 1,85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56 % rund 88 % statt 49 % im Lokalbereich und rund 40 %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Vorarlberg bei 2,94 ct/kWh, der WiNAP bei 3,02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